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99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993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Wright Lee 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380" w:type="dxa"/>
            <w:vAlign w:val="bottom"/>
            <w:tcBorders>
              <w:top w:val="single" w:sz="8" w:color="0000EE"/>
              <w:bottom w:val="single" w:sz="8" w:color="9A9A9A"/>
            </w:tcBorders>
          </w:tcPr>
          <w:p>
            <w:pPr>
              <w:spacing w:after="0"/>
              <w:rPr>
                <w:sz w:val="16"/>
                <w:szCs w:val="16"/>
                <w:color w:val="auto"/>
              </w:rPr>
            </w:pPr>
          </w:p>
        </w:tc>
        <w:tc>
          <w:tcPr>
            <w:tcW w:w="16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05/06/2026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PROG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PRG</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60" w:type="dxa"/>
            <w:vAlign w:val="bottom"/>
          </w:tcPr>
          <w:p>
            <w:pPr>
              <w:ind w:left="12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256 W DATA DR.</w:t>
            </w:r>
          </w:p>
        </w:tc>
        <w:tc>
          <w:tcPr>
            <w:tcW w:w="1300" w:type="dxa"/>
            <w:vAlign w:val="bottom"/>
          </w:tcPr>
          <w:p>
            <w:pPr>
              <w:spacing w:after="0"/>
              <w:rPr>
                <w:sz w:val="24"/>
                <w:szCs w:val="24"/>
                <w:color w:val="auto"/>
              </w:rPr>
            </w:pPr>
          </w:p>
        </w:tc>
      </w:tr>
      <w:tr>
        <w:trPr>
          <w:trHeight w:val="237"/>
        </w:trPr>
        <w:tc>
          <w:tcPr>
            <w:tcW w:w="940" w:type="dxa"/>
            <w:vAlign w:val="bottom"/>
            <w:tcBorders>
              <w:bottom w:val="single" w:sz="8" w:color="9A9A9A"/>
            </w:tcBorders>
          </w:tcPr>
          <w:p>
            <w:pPr>
              <w:spacing w:after="0"/>
              <w:rPr>
                <w:sz w:val="20"/>
                <w:szCs w:val="20"/>
                <w:color w:val="auto"/>
              </w:rPr>
            </w:pPr>
          </w:p>
        </w:tc>
        <w:tc>
          <w:tcPr>
            <w:tcW w:w="86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DRAPER</w:t>
            </w:r>
          </w:p>
        </w:tc>
        <w:tc>
          <w:tcPr>
            <w:tcW w:w="86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UT</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84020</w:t>
            </w:r>
          </w:p>
        </w:tc>
      </w:tr>
      <w:tr>
        <w:trPr>
          <w:trHeight w:val="177"/>
        </w:trPr>
        <w:tc>
          <w:tcPr>
            <w:tcW w:w="9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940" w:type="dxa"/>
            <w:vAlign w:val="bottom"/>
          </w:tcPr>
          <w:p>
            <w:pPr>
              <w:ind w:left="40"/>
              <w:spacing w:after="0"/>
              <w:rPr>
                <w:sz w:val="20"/>
                <w:szCs w:val="20"/>
                <w:color w:val="auto"/>
              </w:rPr>
            </w:pPr>
            <w:r>
              <w:rPr>
                <w:rFonts w:ascii="Arial" w:cs="Arial" w:eastAsia="Arial" w:hAnsi="Arial"/>
                <w:sz w:val="15"/>
                <w:szCs w:val="15"/>
                <w:color w:val="auto"/>
              </w:rPr>
              <w:t>(City)</w:t>
            </w:r>
          </w:p>
        </w:tc>
        <w:tc>
          <w:tcPr>
            <w:tcW w:w="860" w:type="dxa"/>
            <w:vAlign w:val="bottom"/>
          </w:tcPr>
          <w:p>
            <w:pPr>
              <w:ind w:left="12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403"/>
        <w:spacing w:after="0"/>
        <w:rPr>
          <w:sz w:val="20"/>
          <w:szCs w:val="20"/>
          <w:color w:val="auto"/>
        </w:rPr>
      </w:pPr>
      <w:r>
        <w:rPr>
          <w:rFonts w:ascii="Times New Roman" w:cs="Times New Roman" w:eastAsia="Times New Roman" w:hAnsi="Times New Roman"/>
          <w:sz w:val="20"/>
          <w:szCs w:val="20"/>
          <w:color w:val="0000FF"/>
        </w:rPr>
        <w:t>President - Purchasing Power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26"/>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jc w:val="center"/>
              <w:ind w:right="237"/>
              <w:spacing w:after="0"/>
              <w:rPr>
                <w:sz w:val="20"/>
                <w:szCs w:val="20"/>
                <w:color w:val="auto"/>
              </w:rPr>
            </w:pPr>
            <w:r>
              <w:rPr>
                <w:rFonts w:ascii="Times New Roman" w:cs="Times New Roman" w:eastAsia="Times New Roman" w:hAnsi="Times New Roman"/>
                <w:sz w:val="20"/>
                <w:szCs w:val="20"/>
                <w:color w:val="0000FF"/>
              </w:rPr>
              <w:t>50,000</w:t>
            </w:r>
            <w:r>
              <w:rPr>
                <w:rFonts w:ascii="Times New Roman" w:cs="Times New Roman" w:eastAsia="Times New Roman" w:hAnsi="Times New Roman"/>
                <w:sz w:val="25"/>
                <w:szCs w:val="25"/>
                <w:color w:val="008000"/>
                <w:vertAlign w:val="superscript"/>
              </w:rPr>
              <w:t>(1)</w:t>
            </w:r>
          </w:p>
        </w:tc>
        <w:tc>
          <w:tcPr>
            <w:tcW w:w="88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jc w:val="center"/>
              <w:ind w:right="277"/>
              <w:spacing w:after="0"/>
              <w:rPr>
                <w:sz w:val="20"/>
                <w:szCs w:val="20"/>
                <w:color w:val="auto"/>
              </w:rPr>
            </w:pPr>
            <w:r>
              <w:rPr>
                <w:rFonts w:ascii="Times New Roman" w:cs="Times New Roman" w:eastAsia="Times New Roman" w:hAnsi="Times New Roman"/>
                <w:sz w:val="20"/>
                <w:szCs w:val="20"/>
                <w:color w:val="0000FF"/>
              </w:rPr>
              <w:t>8,091</w:t>
            </w:r>
            <w:r>
              <w:rPr>
                <w:rFonts w:ascii="Times New Roman" w:cs="Times New Roman" w:eastAsia="Times New Roman" w:hAnsi="Times New Roman"/>
                <w:sz w:val="25"/>
                <w:szCs w:val="25"/>
                <w:color w:val="008000"/>
                <w:vertAlign w:val="superscript"/>
              </w:rPr>
              <w:t>(2)</w:t>
            </w:r>
          </w:p>
        </w:tc>
        <w:tc>
          <w:tcPr>
            <w:tcW w:w="88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00" w:type="dxa"/>
            <w:vAlign w:val="bottom"/>
            <w:gridSpan w:val="2"/>
          </w:tcPr>
          <w:p>
            <w:pPr>
              <w:ind w:left="60"/>
              <w:spacing w:after="0"/>
              <w:rPr>
                <w:sz w:val="20"/>
                <w:szCs w:val="20"/>
                <w:color w:val="auto"/>
              </w:rPr>
            </w:pPr>
            <w:r>
              <w:rPr>
                <w:rFonts w:ascii="Arial" w:cs="Arial" w:eastAsia="Arial" w:hAnsi="Arial"/>
                <w:sz w:val="15"/>
                <w:szCs w:val="15"/>
                <w:b w:val="1"/>
                <w:bCs w:val="1"/>
                <w:color w:val="auto"/>
                <w:w w:val="99"/>
              </w:rPr>
              <w:t>3. Title and Amount of Securities</w:t>
            </w:r>
          </w:p>
        </w:tc>
        <w:tc>
          <w:tcPr>
            <w:tcW w:w="1080" w:type="dxa"/>
            <w:vAlign w:val="bottom"/>
            <w:gridSpan w:val="2"/>
          </w:tcPr>
          <w:p>
            <w:pPr>
              <w:ind w:left="1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50"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50"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9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14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60" w:type="dxa"/>
            <w:vAlign w:val="bottom"/>
            <w:gridSpan w:val="3"/>
          </w:tcPr>
          <w:p>
            <w:pPr>
              <w:ind w:left="340"/>
              <w:spacing w:after="0" w:line="165" w:lineRule="exact"/>
              <w:rPr>
                <w:sz w:val="20"/>
                <w:szCs w:val="20"/>
                <w:color w:val="auto"/>
              </w:rPr>
            </w:pPr>
            <w:r>
              <w:rPr>
                <w:rFonts w:ascii="Arial" w:cs="Arial" w:eastAsia="Arial" w:hAnsi="Arial"/>
                <w:sz w:val="15"/>
                <w:szCs w:val="15"/>
                <w:b w:val="1"/>
                <w:bCs w:val="1"/>
                <w:color w:val="auto"/>
              </w:rPr>
              <w:t>Amount  Derivative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80" w:type="dxa"/>
            <w:vAlign w:val="bottom"/>
          </w:tcPr>
          <w:p>
            <w:pPr>
              <w:ind w:left="340"/>
              <w:spacing w:after="0" w:line="165" w:lineRule="exact"/>
              <w:rPr>
                <w:sz w:val="20"/>
                <w:szCs w:val="20"/>
                <w:color w:val="auto"/>
              </w:rPr>
            </w:pPr>
            <w:r>
              <w:rPr>
                <w:rFonts w:ascii="Arial" w:cs="Arial" w:eastAsia="Arial" w:hAnsi="Arial"/>
                <w:sz w:val="15"/>
                <w:szCs w:val="15"/>
                <w:b w:val="1"/>
                <w:bCs w:val="1"/>
                <w:color w:val="auto"/>
              </w:rPr>
              <w:t>or</w:t>
            </w:r>
          </w:p>
        </w:tc>
        <w:tc>
          <w:tcPr>
            <w:tcW w:w="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60" w:type="dxa"/>
            <w:vAlign w:val="bottom"/>
            <w:gridSpan w:val="3"/>
          </w:tcPr>
          <w:p>
            <w:pPr>
              <w:ind w:left="34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20" w:type="dxa"/>
            <w:vAlign w:val="bottom"/>
          </w:tcPr>
          <w:p>
            <w:pPr>
              <w:spacing w:after="0"/>
              <w:rPr>
                <w:sz w:val="14"/>
                <w:szCs w:val="14"/>
                <w:color w:val="auto"/>
              </w:rPr>
            </w:pPr>
          </w:p>
        </w:tc>
        <w:tc>
          <w:tcPr>
            <w:tcW w:w="880" w:type="dxa"/>
            <w:vAlign w:val="bottom"/>
          </w:tcPr>
          <w:p>
            <w:pPr>
              <w:ind w:left="340"/>
              <w:spacing w:after="0" w:line="165" w:lineRule="exact"/>
              <w:rPr>
                <w:sz w:val="20"/>
                <w:szCs w:val="20"/>
                <w:color w:val="auto"/>
              </w:rPr>
            </w:pPr>
            <w:r>
              <w:rPr>
                <w:rFonts w:ascii="Arial" w:cs="Arial" w:eastAsia="Arial" w:hAnsi="Arial"/>
                <w:sz w:val="15"/>
                <w:szCs w:val="15"/>
                <w:b w:val="1"/>
                <w:bCs w:val="1"/>
                <w:color w:val="auto"/>
              </w:rPr>
              <w:t>of</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tcPr>
          <w:p>
            <w:pPr>
              <w:ind w:left="340"/>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8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restricted stock units (RSUs) granted in connection with the appointment of the Reporting Person to the position of President of Purchasing Power, a subsidiary of the Issuer. These RSUs are expected to vest on December 3, 2028, subject to the grant agreement between the Issuer and the Reporting Person.</w:t>
      </w:r>
    </w:p>
    <w:p>
      <w:pPr>
        <w:spacing w:after="0" w:line="17" w:lineRule="exact"/>
        <w:rPr>
          <w:rFonts w:ascii="Times New Roman" w:cs="Times New Roman" w:eastAsia="Times New Roman" w:hAnsi="Times New Roman"/>
          <w:sz w:val="15"/>
          <w:szCs w:val="15"/>
          <w:color w:val="008000"/>
        </w:rPr>
      </w:pPr>
    </w:p>
    <w:p>
      <w:pPr>
        <w:ind w:left="40" w:right="58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Restricted stock award is expected to vest in three equal increments on each of March 2, 2027, 2028, and 2029, subject to the grant agreement between the Issuer and the Reporting Person.</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46"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/s/ George M. Sewell,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23634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236345" cy="9525"/>
                    </a:xfrm>
                    <a:prstGeom prst="rect">
                      <a:avLst/>
                    </a:prstGeom>
                    <a:noFill/>
                  </pic:spPr>
                </pic:pic>
              </a:graphicData>
            </a:graphic>
          </wp:anchor>
        </w:drawing>
      </w:r>
    </w:p>
    <w:p>
      <w:pPr>
        <w:spacing w:after="0" w:line="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Power of Attorney for Lee 05/08/2026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A. Wright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49720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497205" cy="9525"/>
                    </a:xfrm>
                    <a:prstGeom prst="rect">
                      <a:avLst/>
                    </a:prstGeom>
                    <a:noFill/>
                  </pic:spPr>
                </pic:pic>
              </a:graphicData>
            </a:graphic>
          </wp:anchor>
        </w:drawing>
      </w:r>
    </w:p>
    <w:p>
      <w:pPr>
        <w:spacing w:after="0" w:line="30"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531650" TargetMode="External"/><Relationship Id="rId11" Type="http://schemas.openxmlformats.org/officeDocument/2006/relationships/hyperlink" Target="http://www.sec.gov/cgi-bin/browse-edgar?action=getcompany&amp;CIK=000180883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2026-05-08T17:04:41Z</dcterms:created>
  <dcterms:modified xsi:type="dcterms:W3CDTF">2026-05-08T17:04:41Z</dcterms:modified>
</cp:coreProperties>
</file>